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DB4E09">
        <w:rPr>
          <w:rFonts w:ascii="Arial" w:hAnsi="Arial" w:cs="Arial"/>
          <w:b/>
          <w:sz w:val="19"/>
          <w:szCs w:val="19"/>
        </w:rPr>
        <w:t>5003520121</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7470F3" w:rsidRPr="002454AE">
        <w:rPr>
          <w:rFonts w:ascii="Arial" w:eastAsia="Calibri" w:hAnsi="Arial" w:cs="Arial"/>
          <w:b/>
          <w:sz w:val="28"/>
          <w:szCs w:val="28"/>
          <w:lang w:eastAsia="en-US"/>
        </w:rPr>
        <w:t>Vstup do oblasti ETCS</w:t>
      </w:r>
      <w:r w:rsidRPr="00B4750A">
        <w:rPr>
          <w:rFonts w:ascii="Arial" w:eastAsia="Calibri" w:hAnsi="Arial" w:cs="Arial"/>
          <w:b/>
          <w:sz w:val="28"/>
          <w:szCs w:val="28"/>
          <w:lang w:eastAsia="en-US"/>
        </w:rPr>
        <w:t>“</w:t>
      </w:r>
    </w:p>
    <w:p w:rsidR="00E42DD0" w:rsidRDefault="00155343" w:rsidP="007D7F69">
      <w:pPr>
        <w:pStyle w:val="Nadpis1"/>
        <w:numPr>
          <w:ilvl w:val="0"/>
          <w:numId w:val="0"/>
        </w:numPr>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1739A0" w:rsidRPr="00CF35B2" w:rsidRDefault="001739A0" w:rsidP="001739A0">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1739A0" w:rsidRPr="00CF35B2" w:rsidRDefault="001739A0" w:rsidP="001739A0">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IČO: 70994234;    DIČ: CZ70994234</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1739A0" w:rsidRPr="00CF35B2" w:rsidRDefault="001739A0" w:rsidP="001739A0">
      <w:pPr>
        <w:ind w:left="540"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1739A0" w:rsidRPr="00CF35B2" w:rsidRDefault="001739A0" w:rsidP="001739A0">
      <w:pPr>
        <w:ind w:right="567" w:firstLine="540"/>
        <w:rPr>
          <w:rFonts w:ascii="Arial" w:hAnsi="Arial" w:cs="Arial"/>
          <w:color w:val="FF0000"/>
          <w:sz w:val="19"/>
          <w:szCs w:val="19"/>
        </w:rPr>
      </w:pPr>
    </w:p>
    <w:p w:rsidR="001739A0" w:rsidRPr="00CF35B2" w:rsidRDefault="001739A0" w:rsidP="001739A0">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1739A0" w:rsidRPr="00CF35B2" w:rsidRDefault="001739A0" w:rsidP="001739A0">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7470F3" w:rsidRPr="002454AE">
        <w:rPr>
          <w:rFonts w:ascii="Arial" w:hAnsi="Arial" w:cs="Arial"/>
          <w:b/>
          <w:sz w:val="19"/>
          <w:szCs w:val="19"/>
        </w:rPr>
        <w:t>Bc. Pavel Žejdl</w:t>
      </w:r>
      <w:r w:rsidR="007470F3" w:rsidRPr="002454AE">
        <w:rPr>
          <w:rFonts w:ascii="Arial" w:hAnsi="Arial" w:cs="Arial"/>
          <w:sz w:val="19"/>
          <w:szCs w:val="19"/>
        </w:rPr>
        <w:t>,</w:t>
      </w:r>
      <w:r w:rsidRPr="002454AE">
        <w:rPr>
          <w:rFonts w:ascii="Arial" w:hAnsi="Arial" w:cs="Arial"/>
          <w:b/>
          <w:sz w:val="19"/>
          <w:szCs w:val="19"/>
        </w:rPr>
        <w:t xml:space="preserve"> </w:t>
      </w:r>
      <w:r w:rsidRPr="002454AE">
        <w:rPr>
          <w:rFonts w:ascii="Arial" w:hAnsi="Arial" w:cs="Arial"/>
          <w:sz w:val="19"/>
          <w:szCs w:val="19"/>
        </w:rPr>
        <w:t>GSM:</w:t>
      </w:r>
      <w:r w:rsidR="007470F3" w:rsidRPr="002454AE">
        <w:rPr>
          <w:rFonts w:ascii="Arial" w:hAnsi="Arial" w:cs="Arial"/>
          <w:sz w:val="19"/>
          <w:szCs w:val="19"/>
        </w:rPr>
        <w:t xml:space="preserve"> 607 040 074</w:t>
      </w:r>
      <w:r w:rsidRPr="00CF35B2">
        <w:rPr>
          <w:rFonts w:ascii="Arial" w:hAnsi="Arial" w:cs="Arial"/>
          <w:sz w:val="19"/>
          <w:szCs w:val="19"/>
        </w:rPr>
        <w:t xml:space="preserve">, e-mail: </w:t>
      </w:r>
      <w:r w:rsidR="007470F3">
        <w:rPr>
          <w:rFonts w:ascii="Arial" w:hAnsi="Arial" w:cs="Arial"/>
          <w:color w:val="0000FF"/>
          <w:sz w:val="19"/>
          <w:szCs w:val="19"/>
          <w:u w:val="single"/>
        </w:rPr>
        <w:t>zejdl</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7470F3">
        <w:rPr>
          <w:rFonts w:ascii="Arial" w:hAnsi="Arial" w:cs="Arial"/>
          <w:color w:val="000000"/>
          <w:sz w:val="19"/>
          <w:szCs w:val="19"/>
        </w:rPr>
        <w:t xml:space="preserve"> </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1739A0" w:rsidRPr="00CF35B2" w:rsidRDefault="001739A0" w:rsidP="001739A0">
      <w:pPr>
        <w:suppressAutoHyphens/>
        <w:ind w:right="567"/>
        <w:rPr>
          <w:rFonts w:ascii="Arial" w:hAnsi="Arial" w:cs="Arial"/>
          <w:b/>
          <w:sz w:val="19"/>
          <w:szCs w:val="19"/>
        </w:rPr>
      </w:pPr>
    </w:p>
    <w:p w:rsidR="001739A0" w:rsidRPr="00CF35B2" w:rsidRDefault="001739A0" w:rsidP="001739A0">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1739A0" w:rsidRPr="00CF35B2" w:rsidRDefault="001739A0" w:rsidP="001739A0">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1739A0" w:rsidRPr="00CF35B2" w:rsidRDefault="001739A0" w:rsidP="001739A0">
      <w:pPr>
        <w:suppressAutoHyphens/>
        <w:ind w:left="539"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1739A0" w:rsidRPr="00CF35B2" w:rsidRDefault="001739A0" w:rsidP="001739A0">
      <w:pPr>
        <w:ind w:left="540" w:right="567"/>
        <w:rPr>
          <w:rFonts w:ascii="Arial" w:hAnsi="Arial" w:cs="Arial"/>
          <w:color w:val="FF0000"/>
          <w:sz w:val="19"/>
          <w:szCs w:val="19"/>
        </w:rPr>
      </w:pPr>
    </w:p>
    <w:p w:rsidR="001739A0" w:rsidRPr="00CF35B2" w:rsidRDefault="001739A0" w:rsidP="001739A0">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 - hlavní</w:t>
      </w:r>
      <w:proofErr w:type="gramEnd"/>
      <w:r w:rsidRPr="00CF35B2">
        <w:rPr>
          <w:rFonts w:ascii="Arial" w:hAnsi="Arial" w:cs="Arial"/>
          <w:sz w:val="19"/>
          <w:szCs w:val="19"/>
        </w:rPr>
        <w:t xml:space="preserve">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roofErr w:type="gramStart"/>
      <w:r w:rsidRPr="00CF35B2">
        <w:rPr>
          <w:rFonts w:ascii="Arial" w:hAnsi="Arial" w:cs="Arial"/>
          <w:sz w:val="19"/>
          <w:szCs w:val="19"/>
        </w:rPr>
        <w:t>…..,</w:t>
      </w:r>
      <w:proofErr w:type="gramEnd"/>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2454AE">
        <w:rPr>
          <w:rFonts w:ascii="Arial" w:hAnsi="Arial" w:cs="Arial"/>
          <w:b/>
          <w:i/>
          <w:szCs w:val="19"/>
        </w:rPr>
        <w:t>Vstup do oblasti ETCS</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E3701D" w:rsidRDefault="00E3701D" w:rsidP="00E3701D">
      <w:pPr>
        <w:spacing w:before="120"/>
        <w:ind w:left="900" w:right="567"/>
        <w:jc w:val="both"/>
        <w:textAlignment w:val="auto"/>
        <w:rPr>
          <w:rFonts w:ascii="Arial" w:hAnsi="Arial" w:cs="Arial"/>
          <w:color w:val="000000"/>
          <w:sz w:val="19"/>
          <w:szCs w:val="19"/>
        </w:rPr>
      </w:pPr>
    </w:p>
    <w:p w:rsidR="00E3701D" w:rsidRPr="00CF35B2" w:rsidRDefault="00E3701D" w:rsidP="00E3701D">
      <w:pPr>
        <w:spacing w:before="120"/>
        <w:ind w:left="900" w:right="567"/>
        <w:jc w:val="both"/>
        <w:textAlignment w:val="auto"/>
        <w:rPr>
          <w:rFonts w:ascii="Arial" w:hAnsi="Arial" w:cs="Arial"/>
          <w:color w:val="000000"/>
          <w:sz w:val="19"/>
          <w:szCs w:val="19"/>
        </w:rPr>
      </w:pP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lastRenderedPageBreak/>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w:t>
      </w:r>
      <w:r w:rsidRPr="00CF35B2">
        <w:rPr>
          <w:rFonts w:ascii="Arial" w:hAnsi="Arial" w:cs="Arial"/>
          <w:sz w:val="19"/>
          <w:szCs w:val="19"/>
        </w:rPr>
        <w:lastRenderedPageBreak/>
        <w:t xml:space="preserve">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D9510C">
        <w:rPr>
          <w:rFonts w:ascii="Arial" w:hAnsi="Arial" w:cs="Arial"/>
          <w:color w:val="000000"/>
          <w:sz w:val="19"/>
          <w:szCs w:val="19"/>
        </w:rPr>
        <w:t xml:space="preserve"> 18401/2020</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D9510C">
        <w:rPr>
          <w:rFonts w:ascii="Arial" w:hAnsi="Arial" w:cs="Arial"/>
          <w:color w:val="000000"/>
          <w:sz w:val="19"/>
          <w:szCs w:val="19"/>
        </w:rPr>
        <w:t>17.08.2020</w:t>
      </w:r>
      <w:bookmarkStart w:id="1" w:name="_GoBack"/>
      <w:bookmarkEnd w:id="1"/>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lastRenderedPageBreak/>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w:t>
      </w:r>
      <w:r w:rsidR="00FD266E" w:rsidRPr="00CF35B2">
        <w:rPr>
          <w:rFonts w:ascii="Arial" w:hAnsi="Arial" w:cs="Arial"/>
          <w:sz w:val="19"/>
          <w:szCs w:val="19"/>
        </w:rPr>
        <w:lastRenderedPageBreak/>
        <w:t xml:space="preserve">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7B3BA7">
      <w:pPr>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w:t>
      </w:r>
      <w:proofErr w:type="gramStart"/>
      <w:r w:rsidRPr="00CF35B2">
        <w:rPr>
          <w:rFonts w:ascii="Arial" w:hAnsi="Arial" w:cs="Arial"/>
          <w:color w:val="000000"/>
          <w:sz w:val="19"/>
          <w:szCs w:val="19"/>
        </w:rPr>
        <w:t xml:space="preserve">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ihned</w:t>
      </w:r>
      <w:proofErr w:type="gramEnd"/>
      <w:r w:rsidRPr="00CF35B2">
        <w:rPr>
          <w:rFonts w:ascii="Arial" w:hAnsi="Arial" w:cs="Arial"/>
          <w:b/>
          <w:color w:val="000000"/>
          <w:sz w:val="19"/>
          <w:szCs w:val="19"/>
        </w:rPr>
        <w:t xml:space="preserve">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w:t>
      </w:r>
      <w:r w:rsidR="007470F3">
        <w:rPr>
          <w:rFonts w:cs="Arial"/>
          <w:b/>
          <w:color w:val="000000"/>
          <w:szCs w:val="19"/>
        </w:rPr>
        <w:t xml:space="preserve">– </w:t>
      </w:r>
      <w:r w:rsidR="007470F3" w:rsidRPr="002454AE">
        <w:rPr>
          <w:rFonts w:ascii="Arial" w:hAnsi="Arial" w:cs="Arial"/>
          <w:b/>
          <w:sz w:val="19"/>
          <w:szCs w:val="19"/>
        </w:rPr>
        <w:t>předpoklad (09/2020)</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w:t>
      </w:r>
      <w:proofErr w:type="gramStart"/>
      <w:r w:rsidRPr="00CF35B2">
        <w:rPr>
          <w:rFonts w:ascii="Arial" w:hAnsi="Arial" w:cs="Arial"/>
          <w:sz w:val="19"/>
          <w:szCs w:val="19"/>
        </w:rPr>
        <w:t xml:space="preserve">je </w:t>
      </w:r>
      <w:r w:rsidR="00B920FE" w:rsidRPr="00CF35B2">
        <w:rPr>
          <w:rFonts w:ascii="Arial" w:hAnsi="Arial" w:cs="Arial"/>
          <w:sz w:val="19"/>
          <w:szCs w:val="19"/>
        </w:rPr>
        <w:t xml:space="preserve">  </w:t>
      </w:r>
      <w:r w:rsidRPr="00CF35B2">
        <w:rPr>
          <w:rFonts w:ascii="Arial" w:hAnsi="Arial" w:cs="Arial"/>
          <w:b/>
          <w:sz w:val="19"/>
          <w:szCs w:val="19"/>
        </w:rPr>
        <w:t>dnem</w:t>
      </w:r>
      <w:proofErr w:type="gramEnd"/>
      <w:r w:rsidRPr="00CF35B2">
        <w:rPr>
          <w:rFonts w:ascii="Arial" w:hAnsi="Arial" w:cs="Arial"/>
          <w:b/>
          <w:sz w:val="19"/>
          <w:szCs w:val="19"/>
        </w:rPr>
        <w:t xml:space="preserve">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7470F3" w:rsidRPr="002454AE">
        <w:rPr>
          <w:rFonts w:ascii="Arial" w:hAnsi="Arial" w:cs="Arial"/>
          <w:b/>
          <w:sz w:val="19"/>
          <w:szCs w:val="19"/>
        </w:rPr>
        <w:t>předpoklad (08/2022)</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B77480" w:rsidRPr="00CF35B2" w:rsidRDefault="00B77480"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2A3312" w:rsidRPr="001B65C2" w:rsidRDefault="006700D3" w:rsidP="00DB1FFA">
      <w:pPr>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w:t>
      </w:r>
      <w:proofErr w:type="gramStart"/>
      <w:r w:rsidR="002A3312" w:rsidRPr="001B65C2">
        <w:rPr>
          <w:rFonts w:ascii="Arial" w:hAnsi="Arial" w:cs="Arial"/>
          <w:sz w:val="19"/>
          <w:szCs w:val="19"/>
        </w:rPr>
        <w:t>2.1. této</w:t>
      </w:r>
      <w:proofErr w:type="gramEnd"/>
      <w:r w:rsidR="002A3312" w:rsidRPr="001B65C2">
        <w:rPr>
          <w:rFonts w:ascii="Arial" w:hAnsi="Arial" w:cs="Arial"/>
          <w:sz w:val="19"/>
          <w:szCs w:val="19"/>
        </w:rPr>
        <w:t xml:space="preserve">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lastRenderedPageBreak/>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CD7D1B" w:rsidRDefault="00987C14" w:rsidP="00987C14">
      <w:pPr>
        <w:spacing w:before="120"/>
        <w:ind w:left="567" w:right="567" w:hanging="567"/>
        <w:jc w:val="both"/>
        <w:rPr>
          <w:rFonts w:ascii="Arial" w:hAnsi="Arial" w:cs="Arial"/>
          <w:sz w:val="19"/>
          <w:szCs w:val="19"/>
        </w:rPr>
      </w:pPr>
      <w:proofErr w:type="gramStart"/>
      <w:r w:rsidRPr="00CD7D1B">
        <w:rPr>
          <w:rFonts w:ascii="Arial" w:hAnsi="Arial" w:cs="Arial"/>
          <w:b/>
          <w:sz w:val="19"/>
          <w:szCs w:val="19"/>
        </w:rPr>
        <w:t>7.3</w:t>
      </w:r>
      <w:proofErr w:type="gramEnd"/>
      <w:r w:rsidRPr="00CD7D1B">
        <w:rPr>
          <w:rFonts w:ascii="Arial" w:hAnsi="Arial" w:cs="Arial"/>
          <w:b/>
          <w:sz w:val="19"/>
          <w:szCs w:val="19"/>
        </w:rPr>
        <w:t>.</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CD7D1B" w:rsidRDefault="00987C14" w:rsidP="00987C14">
      <w:pPr>
        <w:spacing w:before="120"/>
        <w:ind w:left="567" w:right="567" w:hanging="567"/>
        <w:jc w:val="both"/>
        <w:rPr>
          <w:rFonts w:ascii="Arial" w:hAnsi="Arial" w:cs="Arial"/>
          <w:strike/>
          <w:sz w:val="19"/>
          <w:szCs w:val="19"/>
        </w:rPr>
      </w:pPr>
      <w:proofErr w:type="gramStart"/>
      <w:r w:rsidRPr="00CD7D1B">
        <w:rPr>
          <w:rFonts w:ascii="Arial" w:hAnsi="Arial" w:cs="Arial"/>
          <w:b/>
          <w:sz w:val="19"/>
          <w:szCs w:val="19"/>
        </w:rPr>
        <w:t>7.4</w:t>
      </w:r>
      <w:proofErr w:type="gramEnd"/>
      <w:r w:rsidRPr="00CD7D1B">
        <w:rPr>
          <w:rFonts w:ascii="Arial" w:hAnsi="Arial" w:cs="Arial"/>
          <w:b/>
          <w:sz w:val="19"/>
          <w:szCs w:val="19"/>
        </w:rPr>
        <w:t>.</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D15C2D">
      <w:pPr>
        <w:suppressAutoHyphens/>
        <w:spacing w:before="12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00530453" w:rsidRPr="00530453">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 Koordinátor BOZP se zavazuje poskytnout přiměřený přístup zástupcům zadavatele stavby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CD7D1B"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000036" w:rsidRDefault="00000036"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r w:rsidR="00987C14" w:rsidRPr="00000036">
        <w:rPr>
          <w:rFonts w:ascii="Arial" w:hAnsi="Arial" w:cs="Arial"/>
          <w:b/>
          <w:bCs/>
          <w:caps/>
          <w:kern w:val="32"/>
        </w:rPr>
        <w:t xml:space="preserve"> osobních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D64FF8">
        <w:rPr>
          <w:rFonts w:ascii="Arial" w:hAnsi="Arial" w:cs="Arial"/>
          <w:b/>
          <w:bCs/>
          <w:sz w:val="20"/>
          <w:szCs w:val="19"/>
        </w:rPr>
        <w:t>9.1</w:t>
      </w:r>
      <w:proofErr w:type="gramEnd"/>
      <w:r w:rsidRPr="00D64FF8">
        <w:rPr>
          <w:rFonts w:ascii="Arial" w:hAnsi="Arial" w:cs="Arial"/>
          <w:b/>
          <w:bCs/>
          <w:sz w:val="20"/>
          <w:szCs w:val="19"/>
        </w:rPr>
        <w:t>.</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bCs/>
          <w:sz w:val="19"/>
          <w:szCs w:val="19"/>
        </w:rPr>
        <w:t>9.2</w:t>
      </w:r>
      <w:proofErr w:type="gramEnd"/>
      <w:r w:rsidRPr="00000036">
        <w:rPr>
          <w:rFonts w:ascii="Arial" w:hAnsi="Arial" w:cs="Arial"/>
          <w:b/>
          <w:bCs/>
          <w:sz w:val="19"/>
          <w:szCs w:val="19"/>
        </w:rPr>
        <w:t>.</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lastRenderedPageBreak/>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9.7</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w:t>
      </w:r>
      <w:proofErr w:type="gramStart"/>
      <w:r w:rsidRPr="00000036">
        <w:rPr>
          <w:rFonts w:ascii="Arial" w:hAnsi="Arial" w:cs="Arial"/>
          <w:sz w:val="19"/>
          <w:szCs w:val="19"/>
        </w:rPr>
        <w:t>27.04.2016</w:t>
      </w:r>
      <w:proofErr w:type="gramEnd"/>
      <w:r w:rsidRPr="00000036">
        <w:rPr>
          <w:rFonts w:ascii="Arial" w:hAnsi="Arial" w:cs="Arial"/>
          <w:sz w:val="19"/>
          <w:szCs w:val="19"/>
        </w:rPr>
        <w:t xml:space="preserve"> o ochraně fyzických osob v souvislosti se zpracováním osobních údajů a o volném pohybu těchto údajů a o zrušení směrnice 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B77480" w:rsidRPr="00000036" w:rsidRDefault="00B77480" w:rsidP="00987C14">
      <w:pPr>
        <w:overflowPunct/>
        <w:autoSpaceDE/>
        <w:autoSpaceDN/>
        <w:adjustRightInd/>
        <w:spacing w:after="120"/>
        <w:ind w:left="851" w:right="567" w:hanging="284"/>
        <w:jc w:val="both"/>
        <w:textAlignment w:val="auto"/>
        <w:rPr>
          <w:rFonts w:ascii="Arial" w:hAnsi="Arial" w:cs="Arial"/>
          <w:sz w:val="19"/>
          <w:szCs w:val="19"/>
        </w:rPr>
      </w:pPr>
    </w:p>
    <w:p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000036">
        <w:rPr>
          <w:rFonts w:ascii="Arial" w:hAnsi="Arial" w:cs="Arial"/>
          <w:b/>
          <w:sz w:val="19"/>
          <w:szCs w:val="19"/>
        </w:rPr>
        <w:lastRenderedPageBreak/>
        <w:t>9.9</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rsidR="00987C14" w:rsidRPr="00D64FF8" w:rsidRDefault="00987C14" w:rsidP="00987C14">
      <w:pPr>
        <w:overflowPunct/>
        <w:autoSpaceDE/>
        <w:autoSpaceDN/>
        <w:adjustRightInd/>
        <w:ind w:left="567" w:right="567" w:hanging="567"/>
        <w:jc w:val="both"/>
        <w:textAlignment w:val="auto"/>
        <w:rPr>
          <w:rFonts w:ascii="Arial" w:hAnsi="Arial" w:cs="Arial"/>
          <w:sz w:val="19"/>
          <w:szCs w:val="19"/>
        </w:rPr>
      </w:pPr>
    </w:p>
    <w:p w:rsidR="00987C14" w:rsidRPr="00000036" w:rsidRDefault="00987C14" w:rsidP="00987C14">
      <w:pPr>
        <w:suppressAutoHyphens/>
        <w:spacing w:before="240"/>
        <w:ind w:left="539" w:right="129" w:hanging="539"/>
        <w:jc w:val="center"/>
        <w:rPr>
          <w:rFonts w:ascii="Arial" w:hAnsi="Arial" w:cs="Arial"/>
          <w:b/>
          <w:szCs w:val="19"/>
        </w:rPr>
      </w:pPr>
      <w:r w:rsidRPr="00000036">
        <w:rPr>
          <w:rFonts w:ascii="Arial" w:hAnsi="Arial" w:cs="Arial"/>
          <w:b/>
          <w:szCs w:val="19"/>
        </w:rPr>
        <w:t>10.   ZÁVĚREČNÁ USTANOVENÍ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10.1</w:t>
      </w:r>
      <w:proofErr w:type="gramEnd"/>
      <w:r w:rsidRPr="00000036">
        <w:rPr>
          <w:rFonts w:ascii="Arial" w:hAnsi="Arial" w:cs="Arial"/>
          <w:b/>
          <w:sz w:val="19"/>
          <w:szCs w:val="19"/>
        </w:rPr>
        <w:t>.</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t>Tuto smlouvu je možné měnit, doplňovat nebo rušit pouze v téže formě, v jaké byla tato smlouva uzavřena, nebo ve formě přísnější.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10.5</w:t>
      </w:r>
      <w:proofErr w:type="gramEnd"/>
      <w:r w:rsidRPr="00000036">
        <w:rPr>
          <w:rFonts w:ascii="Arial" w:hAnsi="Arial" w:cs="Arial"/>
          <w:b/>
          <w:sz w:val="19"/>
          <w:szCs w:val="19"/>
        </w:rPr>
        <w:t>.</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10.6</w:t>
      </w:r>
      <w:proofErr w:type="gramEnd"/>
      <w:r w:rsidRPr="00000036">
        <w:rPr>
          <w:rFonts w:ascii="Arial" w:hAnsi="Arial" w:cs="Arial"/>
          <w:b/>
          <w:sz w:val="19"/>
          <w:szCs w:val="19"/>
        </w:rPr>
        <w:t>.</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10.7</w:t>
      </w:r>
      <w:proofErr w:type="gramEnd"/>
      <w:r w:rsidRPr="00000036">
        <w:rPr>
          <w:rFonts w:ascii="Arial" w:hAnsi="Arial" w:cs="Arial"/>
          <w:b/>
          <w:sz w:val="19"/>
          <w:szCs w:val="19"/>
        </w:rPr>
        <w:t>.</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000036" w:rsidRDefault="00987C14" w:rsidP="00DB1FFA">
      <w:pPr>
        <w:spacing w:before="120"/>
        <w:ind w:left="567" w:right="567" w:hanging="567"/>
        <w:jc w:val="both"/>
        <w:rPr>
          <w:rFonts w:ascii="Arial" w:hAnsi="Arial" w:cs="Arial"/>
          <w:sz w:val="19"/>
          <w:szCs w:val="19"/>
        </w:rPr>
      </w:pPr>
      <w:bookmarkStart w:id="2" w:name="_Ref214189956"/>
      <w:proofErr w:type="gramStart"/>
      <w:r w:rsidRPr="00000036">
        <w:rPr>
          <w:rFonts w:ascii="Arial" w:hAnsi="Arial" w:cs="Arial"/>
          <w:b/>
          <w:sz w:val="19"/>
          <w:szCs w:val="19"/>
        </w:rPr>
        <w:t>10.8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10.10</w:t>
      </w:r>
      <w:proofErr w:type="gramEnd"/>
      <w:r w:rsidRPr="00000036">
        <w:rPr>
          <w:rFonts w:ascii="Arial" w:hAnsi="Arial" w:cs="Arial"/>
          <w:b/>
          <w:sz w:val="19"/>
          <w:szCs w:val="19"/>
        </w:rPr>
        <w:t>.</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10.11</w:t>
      </w:r>
      <w:proofErr w:type="gramEnd"/>
      <w:r w:rsidRPr="00000036">
        <w:rPr>
          <w:rFonts w:ascii="Arial" w:hAnsi="Arial" w:cs="Arial"/>
          <w:b/>
          <w:sz w:val="19"/>
          <w:szCs w:val="19"/>
        </w:rPr>
        <w:t>.</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10.12</w:t>
      </w:r>
      <w:proofErr w:type="gramEnd"/>
      <w:r w:rsidRPr="00000036">
        <w:rPr>
          <w:rFonts w:ascii="Arial" w:hAnsi="Arial" w:cs="Arial"/>
          <w:b/>
          <w:sz w:val="19"/>
          <w:szCs w:val="19"/>
        </w:rPr>
        <w:t>.</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 xml:space="preserve">Smluvní strany výslovně prohlašují, že údaje a další skutečnosti uvedené v této smlouvě, vyjma částí označených ve smyslu následujícího odstavce této smlouvy, nepovažují za obchodní tajemství ve </w:t>
      </w:r>
      <w:r w:rsidRPr="00000036">
        <w:rPr>
          <w:rFonts w:ascii="Arial" w:hAnsi="Arial" w:cs="Arial"/>
          <w:sz w:val="19"/>
          <w:szCs w:val="19"/>
        </w:rPr>
        <w:lastRenderedPageBreak/>
        <w:t>smyslu ustanovení § 504 zákona č. 89/2012 Sb., občanský zákoník, v platném znění (dále jen „obchodní tajemství"), a že se nejedná ani o informace, které nemohou být v registru smluv uveřejněny na základě ustanovení § 3 odst. 1 ZRS.</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10.17.</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10.18.</w:t>
      </w:r>
      <w:r w:rsidRPr="00000036">
        <w:rPr>
          <w:rFonts w:ascii="Arial" w:hAnsi="Arial" w:cs="Arial"/>
          <w:sz w:val="19"/>
          <w:szCs w:val="19"/>
        </w:rPr>
        <w:tab/>
        <w:t xml:space="preserve">Tato smlouva je vyhotovena ve </w:t>
      </w:r>
      <w:r w:rsidRPr="00000036">
        <w:rPr>
          <w:rFonts w:ascii="Arial" w:hAnsi="Arial" w:cs="Arial"/>
          <w:b/>
          <w:sz w:val="19"/>
          <w:szCs w:val="19"/>
        </w:rPr>
        <w:t>čtyřech (4)</w:t>
      </w:r>
      <w:r w:rsidRPr="00000036">
        <w:rPr>
          <w:rFonts w:ascii="Arial" w:hAnsi="Arial" w:cs="Arial"/>
          <w:sz w:val="19"/>
          <w:szCs w:val="19"/>
        </w:rPr>
        <w:t xml:space="preserve"> vyhotoveních, s platností originálu, z nichž zadavatel stavby obdrží </w:t>
      </w:r>
      <w:r w:rsidRPr="00000036">
        <w:rPr>
          <w:rFonts w:ascii="Arial" w:hAnsi="Arial" w:cs="Arial"/>
          <w:b/>
          <w:sz w:val="19"/>
          <w:szCs w:val="19"/>
        </w:rPr>
        <w:t>dvě (2)</w:t>
      </w:r>
      <w:r w:rsidRPr="00000036">
        <w:rPr>
          <w:rFonts w:ascii="Arial" w:hAnsi="Arial" w:cs="Arial"/>
          <w:sz w:val="19"/>
          <w:szCs w:val="19"/>
        </w:rPr>
        <w:t xml:space="preserve"> vyhotovení a koordinátor BOZP </w:t>
      </w:r>
      <w:r w:rsidRPr="00000036">
        <w:rPr>
          <w:rFonts w:ascii="Arial" w:hAnsi="Arial" w:cs="Arial"/>
          <w:b/>
          <w:sz w:val="19"/>
          <w:szCs w:val="19"/>
        </w:rPr>
        <w:t>dvě (2)</w:t>
      </w:r>
      <w:r w:rsidRPr="00000036">
        <w:rPr>
          <w:rFonts w:ascii="Arial" w:hAnsi="Arial" w:cs="Arial"/>
          <w:sz w:val="19"/>
          <w:szCs w:val="19"/>
        </w:rPr>
        <w:t xml:space="preserve"> vyhotovení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10.19.</w:t>
      </w:r>
      <w:r w:rsidRPr="00000036">
        <w:rPr>
          <w:rFonts w:ascii="Arial" w:hAnsi="Arial" w:cs="Arial"/>
          <w:sz w:val="19"/>
          <w:szCs w:val="19"/>
        </w:rPr>
        <w:tab/>
        <w:t>Nedílnou součástí této smlouvy jsou tyto její přílohy:</w:t>
      </w:r>
    </w:p>
    <w:p w:rsidR="00987C14" w:rsidRPr="00000036" w:rsidRDefault="00987C14" w:rsidP="00DB1FFA">
      <w:pPr>
        <w:spacing w:before="120"/>
        <w:ind w:left="567" w:right="567"/>
        <w:jc w:val="both"/>
        <w:rPr>
          <w:rFonts w:ascii="Arial" w:hAnsi="Arial" w:cs="Arial"/>
          <w:sz w:val="19"/>
          <w:szCs w:val="19"/>
        </w:rPr>
      </w:pPr>
      <w:r w:rsidRPr="00000036">
        <w:rPr>
          <w:rFonts w:ascii="Arial" w:hAnsi="Arial" w:cs="Arial"/>
          <w:sz w:val="19"/>
          <w:szCs w:val="19"/>
        </w:rPr>
        <w:t>příloha č. 1 - Rozpis nabídkové ceny</w:t>
      </w:r>
    </w:p>
    <w:p w:rsidR="00987C14" w:rsidRDefault="00987C14" w:rsidP="00DB1FFA">
      <w:pPr>
        <w:spacing w:before="120"/>
        <w:ind w:left="567" w:right="567"/>
        <w:jc w:val="both"/>
        <w:rPr>
          <w:rFonts w:ascii="Arial" w:hAnsi="Arial" w:cs="Arial"/>
          <w:sz w:val="19"/>
          <w:szCs w:val="19"/>
        </w:rPr>
      </w:pPr>
      <w:r w:rsidRPr="00000036">
        <w:rPr>
          <w:rFonts w:ascii="Arial" w:hAnsi="Arial" w:cs="Arial"/>
          <w:sz w:val="19"/>
          <w:szCs w:val="19"/>
        </w:rPr>
        <w:t>příloha č. 2 - Plná moc</w:t>
      </w:r>
    </w:p>
    <w:p w:rsidR="00DB1FFA" w:rsidRDefault="00DB1FFA" w:rsidP="00987C14">
      <w:pPr>
        <w:ind w:right="567"/>
        <w:jc w:val="both"/>
        <w:rPr>
          <w:rFonts w:ascii="Arial" w:hAnsi="Arial"/>
          <w:color w:val="000000"/>
          <w:sz w:val="19"/>
          <w:szCs w:val="19"/>
        </w:rPr>
      </w:pPr>
    </w:p>
    <w:p w:rsidR="00987C14" w:rsidRPr="00000036" w:rsidRDefault="00987C14" w:rsidP="00987C14">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rsidR="00987C14" w:rsidRPr="00000036" w:rsidRDefault="00987C14" w:rsidP="00987C14">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987C14" w:rsidRDefault="00987C14" w:rsidP="00987C14">
      <w:pPr>
        <w:spacing w:before="120"/>
        <w:jc w:val="both"/>
        <w:rPr>
          <w:rFonts w:ascii="Arial" w:hAnsi="Arial"/>
          <w:b/>
          <w:color w:val="000000"/>
          <w:sz w:val="19"/>
          <w:szCs w:val="19"/>
        </w:rPr>
      </w:pPr>
    </w:p>
    <w:p w:rsidR="00987C14" w:rsidRPr="00000036" w:rsidRDefault="00987C14" w:rsidP="00987C14">
      <w:pPr>
        <w:spacing w:before="360"/>
        <w:jc w:val="both"/>
        <w:rPr>
          <w:rFonts w:ascii="Arial" w:hAnsi="Arial"/>
          <w:color w:val="000000"/>
          <w:sz w:val="19"/>
          <w:szCs w:val="19"/>
        </w:rPr>
      </w:pPr>
      <w:r w:rsidRPr="00000036">
        <w:rPr>
          <w:rFonts w:ascii="Arial" w:hAnsi="Arial"/>
          <w:color w:val="000000"/>
          <w:sz w:val="19"/>
          <w:szCs w:val="19"/>
        </w:rPr>
        <w:t>………………………………                                          …………………………………….</w:t>
      </w:r>
    </w:p>
    <w:p w:rsidR="00987C14" w:rsidRPr="00000036" w:rsidRDefault="00987C14" w:rsidP="00987C14">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987C14" w:rsidRPr="00000036" w:rsidRDefault="00987C14" w:rsidP="00987C14">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987C14" w:rsidRPr="00000036" w:rsidRDefault="00987C14" w:rsidP="00987C14">
      <w:pPr>
        <w:jc w:val="both"/>
        <w:rPr>
          <w:rFonts w:ascii="Arial" w:hAnsi="Arial"/>
          <w:color w:val="000000"/>
          <w:sz w:val="19"/>
          <w:szCs w:val="19"/>
        </w:rPr>
      </w:pPr>
      <w:r w:rsidRPr="00000036">
        <w:rPr>
          <w:rFonts w:ascii="Arial" w:hAnsi="Arial"/>
          <w:color w:val="000000"/>
          <w:sz w:val="19"/>
          <w:szCs w:val="19"/>
        </w:rPr>
        <w:t xml:space="preserve">     Stavební správa západ</w:t>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r w:rsidR="00B83F38">
        <w:rPr>
          <w:rFonts w:ascii="Arial" w:hAnsi="Arial"/>
          <w:color w:val="000000"/>
          <w:sz w:val="19"/>
          <w:szCs w:val="19"/>
        </w:rPr>
        <w:tab/>
      </w:r>
    </w:p>
    <w:sectPr w:rsidR="00987C14" w:rsidRPr="00000036"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818" w:rsidRDefault="008D4818">
      <w:r>
        <w:separator/>
      </w:r>
    </w:p>
  </w:endnote>
  <w:endnote w:type="continuationSeparator" w:id="0">
    <w:p w:rsidR="008D4818" w:rsidRDefault="008D4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D9510C">
      <w:rPr>
        <w:rStyle w:val="slostrnky"/>
        <w:rFonts w:ascii="Arial" w:hAnsi="Arial" w:cs="Arial"/>
        <w:i/>
        <w:noProof/>
        <w:sz w:val="18"/>
      </w:rPr>
      <w:t>12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D9510C">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D9510C">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D9510C">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818" w:rsidRDefault="008D4818">
      <w:r>
        <w:separator/>
      </w:r>
    </w:p>
  </w:footnote>
  <w:footnote w:type="continuationSeparator" w:id="0">
    <w:p w:rsidR="008D4818" w:rsidRDefault="008D4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E743D8" w:rsidRPr="00B4750A">
      <w:rPr>
        <w:rFonts w:ascii="Arial" w:hAnsi="Arial" w:cs="Arial"/>
        <w:i/>
        <w:sz w:val="18"/>
        <w:szCs w:val="18"/>
      </w:rPr>
      <w:t>(</w:t>
    </w:r>
    <w:r w:rsidR="001304E9" w:rsidRPr="00B4750A">
      <w:rPr>
        <w:rFonts w:ascii="Arial" w:hAnsi="Arial" w:cs="Arial"/>
        <w:i/>
        <w:sz w:val="18"/>
        <w:szCs w:val="18"/>
      </w:rPr>
      <w:t>název stavby)</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2454AE"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Vstup do oblasti ETCS</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454AE"/>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232A"/>
    <w:rsid w:val="003732EE"/>
    <w:rsid w:val="00374740"/>
    <w:rsid w:val="00376712"/>
    <w:rsid w:val="00381F39"/>
    <w:rsid w:val="00386008"/>
    <w:rsid w:val="00387C74"/>
    <w:rsid w:val="00394DCF"/>
    <w:rsid w:val="00395C18"/>
    <w:rsid w:val="003A02D6"/>
    <w:rsid w:val="003B29D5"/>
    <w:rsid w:val="003B5EC6"/>
    <w:rsid w:val="003B6B25"/>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A42"/>
    <w:rsid w:val="00495D45"/>
    <w:rsid w:val="004961C0"/>
    <w:rsid w:val="004A0315"/>
    <w:rsid w:val="004A3853"/>
    <w:rsid w:val="004A4777"/>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57CD5"/>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0F3"/>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D4818"/>
    <w:rsid w:val="008E0F10"/>
    <w:rsid w:val="008E1268"/>
    <w:rsid w:val="008E4F24"/>
    <w:rsid w:val="008E7A08"/>
    <w:rsid w:val="008F453F"/>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9510C"/>
    <w:rsid w:val="00DA2A67"/>
    <w:rsid w:val="00DA39CC"/>
    <w:rsid w:val="00DA42A6"/>
    <w:rsid w:val="00DA529C"/>
    <w:rsid w:val="00DA5EF2"/>
    <w:rsid w:val="00DA698C"/>
    <w:rsid w:val="00DB1F59"/>
    <w:rsid w:val="00DB1FFA"/>
    <w:rsid w:val="00DB3DD4"/>
    <w:rsid w:val="00DB4E09"/>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FAA97CF"/>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F1622-A391-4278-85D0-ADA957A9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6863</Words>
  <Characters>40498</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47267</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Fišerová Magda, DiS.</cp:lastModifiedBy>
  <cp:revision>11</cp:revision>
  <cp:lastPrinted>2016-11-12T12:29:00Z</cp:lastPrinted>
  <dcterms:created xsi:type="dcterms:W3CDTF">2020-07-01T10:42:00Z</dcterms:created>
  <dcterms:modified xsi:type="dcterms:W3CDTF">2020-08-19T08:59:00Z</dcterms:modified>
</cp:coreProperties>
</file>